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60"/>
      </w:pPr>
      <w:r>
        <w:t xml:space="preserve"/>
      </w:r>
    </w:p>
    <w:p>
      <w:pPr>
        <w:spacing w:after="420"/>
        <w:jc w:val="center"/>
      </w:pPr>
      <w:r>
        <w:drawing>
          <wp:inline distT="0" distB="0" distL="0" distR="0">
            <wp:extent cx="2000250" cy="60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00250" cy="600075"/>
                    </a:xfrm>
                    <a:prstGeom prst="rect">
                      <a:avLst/>
                    </a:prstGeom>
                  </pic:spPr>
                </pic:pic>
              </a:graphicData>
            </a:graphic>
          </wp:inline>
        </w:drawing>
      </w:r>
    </w:p>
    <w:p>
      <w:pPr>
        <w:spacing w:after="130"/>
        <w:jc w:val="center"/>
      </w:pPr>
      <w:r>
        <w:rPr>
          <w:rFonts w:ascii="Arial" w:cs="Arial" w:eastAsia="Arial" w:hAnsi="Arial"/>
          <w:b/>
          <w:bCs/>
          <w:color w:val="1F3864"/>
          <w:spacing w:val="24"/>
          <w:sz w:val="25"/>
          <w:szCs w:val="25"/>
        </w:rPr>
        <w:t xml:space="preserve">USER REQUIREMENTS SPECIFICATION</w:t>
      </w:r>
    </w:p>
    <w:p>
      <w:pPr>
        <w:spacing w:after="130"/>
        <w:jc w:val="center"/>
      </w:pPr>
      <w:r>
        <w:rPr>
          <w:rFonts w:ascii="Arial" w:cs="Arial" w:eastAsia="Arial" w:hAnsi="Arial"/>
          <w:b/>
          <w:bCs/>
          <w:color w:val="1F3864"/>
          <w:sz w:val="40"/>
          <w:szCs w:val="40"/>
        </w:rPr>
        <w:t xml:space="preserve">Water for Injection Storage and Distribution System</w:t>
      </w:r>
    </w:p>
    <w:p>
      <w:pPr>
        <w:spacing w:after="260"/>
        <w:jc w:val="center"/>
      </w:pPr>
      <w:r>
        <w:rPr>
          <w:rFonts w:ascii="Consolas" w:cs="Consolas" w:eastAsia="Consolas" w:hAnsi="Consolas"/>
          <w:color w:val="7A8794"/>
          <w:spacing w:val="16"/>
          <w:sz w:val="21"/>
          <w:szCs w:val="21"/>
        </w:rPr>
        <w:t xml:space="preserve">URS-WFI-001  ·  REVISION 0.1</w:t>
      </w:r>
    </w:p>
    <w:p>
      <w:pPr>
        <w:pBdr>
          <w:bottom w:val="single" w:color="1E40AF" w:sz="12"/>
        </w:pBdr>
        <w:spacing w:after="3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Document status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Draft</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System name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[Enter system name]</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Equipment type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Pharmaceutical Water — WFI Storage and Distribution</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Site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[Enter site]</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GxP impact</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Direct impact</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Prepared by</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[Enter author]</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Date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[DD-MMM-YYYY]</w:t>
            </w:r>
          </w:p>
        </w:tc>
      </w:tr>
    </w:tbl>
    <w:p>
      <w:pPr>
        <w:spacing w:before="4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3DD" w:sz="4"/>
              <w:left w:val="single" w:color="C9D3DD" w:sz="4"/>
              <w:bottom w:val="single" w:color="C9D3DD" w:sz="4"/>
              <w:right w:val="single" w:color="C9D3DD" w:sz="4"/>
            </w:tcBorders>
            <w:shd w:fill="F4F7FA" w:color="auto" w:val="clear"/>
            <w:tcMar>
              <w:top w:type="dxa" w:w="180"/>
              <w:left w:type="dxa" w:w="200"/>
              <w:bottom w:type="dxa" w:w="180"/>
              <w:right w:type="dxa" w:w="200"/>
            </w:tcMar>
          </w:tcPr>
          <w:p>
            <w:pPr>
              <w:spacing w:after="0"/>
            </w:pPr>
            <w:r>
              <w:rPr>
                <w:rFonts w:ascii="Arial" w:cs="Arial" w:eastAsia="Arial" w:hAnsi="Arial"/>
                <w:color w:val="3A4A5C"/>
                <w:sz w:val="19"/>
                <w:szCs w:val="19"/>
              </w:rPr>
              <w:t xml:space="preserve">This document was drafted with software assistance. It is a draft and has no validity until reviewed and approved by qualified personnel in accordance with the site quality system. All bracketed values must be supplied and all Section 6 assumptions confirmed before this document is issued. Pharma4i does not perform or record document approval; responsibility for review, approval, signature and document control rests with the approving persons named in Section 8.</w:t>
            </w:r>
          </w:p>
        </w:tc>
      </w:tr>
    </w:tbl>
    <w:p>
      <w:pPr>
        <w:spacing w:after="200" w:before="500"/>
      </w:pPr>
      <w:r>
        <w:rPr>
          <w:rFonts w:ascii="Arial" w:cs="Arial" w:eastAsia="Arial" w:hAnsi="Arial"/>
          <w:b/>
          <w:bCs/>
          <w:color w:val="1F3864"/>
          <w:spacing w:val="12"/>
          <w:sz w:val="21"/>
          <w:szCs w:val="21"/>
        </w:rPr>
        <w:t xml:space="preserve">HOW TO USE THIS TEMPLATE</w:t>
      </w:r>
    </w:p>
    <w:p>
      <w:pPr>
        <w:spacing w:after="120" w:before="0"/>
      </w:pPr>
      <w:r>
        <w:rPr>
          <w:rFonts w:ascii="Arial" w:cs="Arial" w:eastAsia="Arial" w:hAnsi="Arial"/>
          <w:sz w:val="22"/>
          <w:szCs w:val="22"/>
        </w:rPr>
        <w:t xml:space="preserve">Values shown as [TO BE CONFIRMED] are deliberate. They are parameters that must be supplied by the user department; the template does not assume them because an assumed capacity, sanitisation temperature or hold time is a specification error that reaches a supplier as though it were a decision.</w:t>
      </w:r>
    </w:p>
    <w:p>
      <w:pPr>
        <w:spacing w:after="120" w:before="0"/>
      </w:pPr>
      <w:r>
        <w:rPr>
          <w:rFonts w:ascii="Arial" w:cs="Arial" w:eastAsia="Arial" w:hAnsi="Arial"/>
          <w:sz w:val="22"/>
          <w:szCs w:val="22"/>
        </w:rPr>
        <w:t xml:space="preserve">Section 6 lists the configuration assumptions carried while drafting. Each must be confirmed or corrected before the document is issued. Appendix A defines the worst-case conditions that govern design verification and qualification; every one of them should be challenged during qualification, not only the convenient ones.</w:t>
      </w:r>
    </w:p>
    <w:p>
      <w:r>
        <w:br w:type="page"/>
      </w:r>
    </w:p>
    <w:p>
      <w:pPr>
        <w:pStyle w:val="Heading1"/>
        <w:spacing w:after="160" w:before="320"/>
      </w:pPr>
      <w:r>
        <w:rPr>
          <w:rFonts w:ascii="Arial" w:cs="Arial" w:eastAsia="Arial" w:hAnsi="Arial"/>
          <w:b/>
          <w:bCs/>
          <w:color w:val="1F3864"/>
          <w:sz w:val="26"/>
          <w:szCs w:val="26"/>
        </w:rPr>
        <w:t xml:space="preserve">Table of 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20"/>
      </w:pPr>
      <w:r>
        <w:rPr>
          <w:rFonts w:ascii="Arial" w:cs="Arial" w:eastAsia="Arial" w:hAnsi="Arial"/>
          <w:b/>
          <w:bCs/>
          <w:color w:val="1F3864"/>
          <w:sz w:val="26"/>
          <w:szCs w:val="26"/>
        </w:rPr>
        <w:t xml:space="preserve">1. Purpose and Scope</w:t>
      </w:r>
    </w:p>
    <w:p>
      <w:pPr>
        <w:pStyle w:val="Heading2"/>
        <w:spacing w:after="100" w:before="220"/>
      </w:pPr>
      <w:r>
        <w:rPr>
          <w:rFonts w:ascii="Arial" w:cs="Arial" w:eastAsia="Arial" w:hAnsi="Arial"/>
          <w:b/>
          <w:bCs/>
          <w:color w:val="1F3864"/>
          <w:sz w:val="23"/>
          <w:szCs w:val="23"/>
        </w:rPr>
        <w:t xml:space="preserve">1.1 Purpose</w:t>
      </w:r>
    </w:p>
    <w:p>
      <w:pPr>
        <w:spacing w:after="120" w:before="0"/>
      </w:pPr>
      <w:r>
        <w:rPr>
          <w:rFonts w:ascii="Arial" w:cs="Arial" w:eastAsia="Arial" w:hAnsi="Arial"/>
          <w:sz w:val="22"/>
          <w:szCs w:val="22"/>
        </w:rPr>
        <w:t xml:space="preserve">This User Requirements Specification defines the requirements of the user for a Water for Injection storage and distribution system to be installed at [site]. It states what the user requires; it does not state how those requirements are to be achieved, which is the responsibility of the supplier and is assessed during Design Qualification.</w:t>
      </w:r>
    </w:p>
    <w:p>
      <w:pPr>
        <w:pStyle w:val="Heading2"/>
        <w:spacing w:after="100" w:before="220"/>
      </w:pPr>
      <w:r>
        <w:rPr>
          <w:rFonts w:ascii="Arial" w:cs="Arial" w:eastAsia="Arial" w:hAnsi="Arial"/>
          <w:b/>
          <w:bCs/>
          <w:color w:val="1F3864"/>
          <w:sz w:val="23"/>
          <w:szCs w:val="23"/>
        </w:rPr>
        <w:t xml:space="preserve">1.2 Scope of the system</w:t>
      </w:r>
    </w:p>
    <w:p>
      <w:pPr>
        <w:pStyle w:val="ListParagraph"/>
        <w:numPr>
          <w:ilvl w:val="0"/>
          <w:numId w:val="1"/>
        </w:numPr>
        <w:spacing w:after="70"/>
      </w:pPr>
      <w:r>
        <w:rPr>
          <w:rFonts w:ascii="Arial" w:cs="Arial" w:eastAsia="Arial" w:hAnsi="Arial"/>
          <w:sz w:val="22"/>
          <w:szCs w:val="22"/>
        </w:rPr>
        <w:t xml:space="preserve">The WFI storage tank, including its vent filter, spray ball, level instrumentation and relief devices.</w:t>
      </w:r>
    </w:p>
    <w:p>
      <w:pPr>
        <w:pStyle w:val="ListParagraph"/>
        <w:numPr>
          <w:ilvl w:val="0"/>
          <w:numId w:val="1"/>
        </w:numPr>
        <w:spacing w:after="70"/>
      </w:pPr>
      <w:r>
        <w:rPr>
          <w:rFonts w:ascii="Arial" w:cs="Arial" w:eastAsia="Arial" w:hAnsi="Arial"/>
          <w:sz w:val="22"/>
          <w:szCs w:val="22"/>
        </w:rPr>
        <w:t xml:space="preserve">The distribution loop, including supply and return pipework, distribution pumps, heat exchanger and all valves.</w:t>
      </w:r>
    </w:p>
    <w:p>
      <w:pPr>
        <w:pStyle w:val="ListParagraph"/>
        <w:numPr>
          <w:ilvl w:val="0"/>
          <w:numId w:val="1"/>
        </w:numPr>
        <w:spacing w:after="70"/>
      </w:pPr>
      <w:r>
        <w:rPr>
          <w:rFonts w:ascii="Arial" w:cs="Arial" w:eastAsia="Arial" w:hAnsi="Arial"/>
          <w:sz w:val="22"/>
          <w:szCs w:val="22"/>
        </w:rPr>
        <w:t xml:space="preserve">All points of use listed in the point-of-use schedule, including point-of-use coolers and sample valves.</w:t>
      </w:r>
    </w:p>
    <w:p>
      <w:pPr>
        <w:pStyle w:val="ListParagraph"/>
        <w:numPr>
          <w:ilvl w:val="0"/>
          <w:numId w:val="1"/>
        </w:numPr>
        <w:spacing w:after="70"/>
      </w:pPr>
      <w:r>
        <w:rPr>
          <w:rFonts w:ascii="Arial" w:cs="Arial" w:eastAsia="Arial" w:hAnsi="Arial"/>
          <w:sz w:val="22"/>
          <w:szCs w:val="22"/>
        </w:rPr>
        <w:t xml:space="preserve">The thermal sanitisation function and its control.</w:t>
      </w:r>
    </w:p>
    <w:p>
      <w:pPr>
        <w:pStyle w:val="ListParagraph"/>
        <w:numPr>
          <w:ilvl w:val="0"/>
          <w:numId w:val="1"/>
        </w:numPr>
        <w:spacing w:after="70"/>
      </w:pPr>
      <w:r>
        <w:rPr>
          <w:rFonts w:ascii="Arial" w:cs="Arial" w:eastAsia="Arial" w:hAnsi="Arial"/>
          <w:sz w:val="22"/>
          <w:szCs w:val="22"/>
        </w:rPr>
        <w:t xml:space="preserve">Online monitoring instrumentation for temperature, flow, pressure, level, conductivity and total organic carbon.</w:t>
      </w:r>
    </w:p>
    <w:p>
      <w:pPr>
        <w:pStyle w:val="ListParagraph"/>
        <w:numPr>
          <w:ilvl w:val="0"/>
          <w:numId w:val="1"/>
        </w:numPr>
        <w:spacing w:after="70"/>
      </w:pPr>
      <w:r>
        <w:rPr>
          <w:rFonts w:ascii="Arial" w:cs="Arial" w:eastAsia="Arial" w:hAnsi="Arial"/>
          <w:sz w:val="22"/>
          <w:szCs w:val="22"/>
        </w:rPr>
        <w:t xml:space="preserve">The control system, operator interface, and the GMP records it generates.</w:t>
      </w:r>
    </w:p>
    <w:p>
      <w:pPr>
        <w:pStyle w:val="Heading2"/>
        <w:spacing w:after="100" w:before="220"/>
      </w:pPr>
      <w:r>
        <w:rPr>
          <w:rFonts w:ascii="Arial" w:cs="Arial" w:eastAsia="Arial" w:hAnsi="Arial"/>
          <w:b/>
          <w:bCs/>
          <w:color w:val="1F3864"/>
          <w:sz w:val="23"/>
          <w:szCs w:val="23"/>
        </w:rPr>
        <w:t xml:space="preserve">1.3 Out of scope</w:t>
      </w:r>
    </w:p>
    <w:p>
      <w:pPr>
        <w:pStyle w:val="ListParagraph"/>
        <w:numPr>
          <w:ilvl w:val="0"/>
          <w:numId w:val="1"/>
        </w:numPr>
        <w:spacing w:after="70"/>
      </w:pPr>
      <w:r>
        <w:rPr>
          <w:rFonts w:ascii="Arial" w:cs="Arial" w:eastAsia="Arial" w:hAnsi="Arial"/>
          <w:sz w:val="22"/>
          <w:szCs w:val="22"/>
        </w:rPr>
        <w:t xml:space="preserve">The WFI generation system upstream of the storage tank, which is the subject of a separate specification.</w:t>
      </w:r>
    </w:p>
    <w:p>
      <w:pPr>
        <w:pStyle w:val="ListParagraph"/>
        <w:numPr>
          <w:ilvl w:val="0"/>
          <w:numId w:val="1"/>
        </w:numPr>
        <w:spacing w:after="70"/>
      </w:pPr>
      <w:r>
        <w:rPr>
          <w:rFonts w:ascii="Arial" w:cs="Arial" w:eastAsia="Arial" w:hAnsi="Arial"/>
          <w:sz w:val="22"/>
          <w:szCs w:val="22"/>
        </w:rPr>
        <w:t xml:space="preserve">Pretreatment and feed water systems.</w:t>
      </w:r>
    </w:p>
    <w:p>
      <w:pPr>
        <w:pStyle w:val="ListParagraph"/>
        <w:numPr>
          <w:ilvl w:val="0"/>
          <w:numId w:val="1"/>
        </w:numPr>
        <w:spacing w:after="70"/>
      </w:pPr>
      <w:r>
        <w:rPr>
          <w:rFonts w:ascii="Arial" w:cs="Arial" w:eastAsia="Arial" w:hAnsi="Arial"/>
          <w:sz w:val="22"/>
          <w:szCs w:val="22"/>
        </w:rPr>
        <w:t xml:space="preserve">Point-of-use hoses, connectors and their management.</w:t>
      </w:r>
    </w:p>
    <w:p>
      <w:pPr>
        <w:pStyle w:val="ListParagraph"/>
        <w:numPr>
          <w:ilvl w:val="0"/>
          <w:numId w:val="1"/>
        </w:numPr>
        <w:spacing w:after="70"/>
      </w:pPr>
      <w:r>
        <w:rPr>
          <w:rFonts w:ascii="Arial" w:cs="Arial" w:eastAsia="Arial" w:hAnsi="Arial"/>
          <w:sz w:val="22"/>
          <w:szCs w:val="22"/>
        </w:rPr>
        <w:t xml:space="preserve">Site utilities upstream of the connection points defined in the utility schedule.</w:t>
      </w:r>
    </w:p>
    <w:p>
      <w:pPr>
        <w:pStyle w:val="ListParagraph"/>
        <w:numPr>
          <w:ilvl w:val="0"/>
          <w:numId w:val="1"/>
        </w:numPr>
        <w:spacing w:after="70"/>
      </w:pPr>
      <w:r>
        <w:rPr>
          <w:rFonts w:ascii="Arial" w:cs="Arial" w:eastAsia="Arial" w:hAnsi="Arial"/>
          <w:sz w:val="22"/>
          <w:szCs w:val="22"/>
        </w:rPr>
        <w:t xml:space="preserve">Building services, room HVAC and environmental monitoring.</w:t>
      </w:r>
    </w:p>
    <w:p>
      <w:pPr>
        <w:pStyle w:val="ListParagraph"/>
        <w:numPr>
          <w:ilvl w:val="0"/>
          <w:numId w:val="1"/>
        </w:numPr>
        <w:spacing w:after="70"/>
      </w:pPr>
      <w:r>
        <w:rPr>
          <w:rFonts w:ascii="Arial" w:cs="Arial" w:eastAsia="Arial" w:hAnsi="Arial"/>
          <w:sz w:val="22"/>
          <w:szCs w:val="22"/>
        </w:rPr>
        <w:t xml:space="preserve">Laboratory testing methods and the sampling programme itself, which are defined in site procedures.</w:t>
      </w:r>
    </w:p>
    <w:p>
      <w:pPr>
        <w:pStyle w:val="Heading1"/>
        <w:spacing w:after="160" w:before="320"/>
      </w:pPr>
      <w:r>
        <w:rPr>
          <w:rFonts w:ascii="Arial" w:cs="Arial" w:eastAsia="Arial" w:hAnsi="Arial"/>
          <w:b/>
          <w:bCs/>
          <w:color w:val="1F3864"/>
          <w:sz w:val="26"/>
          <w:szCs w:val="26"/>
        </w:rPr>
        <w:t xml:space="preserve">2. System Overview</w:t>
      </w:r>
    </w:p>
    <w:p>
      <w:pPr>
        <w:pStyle w:val="Heading2"/>
        <w:spacing w:after="100" w:before="220"/>
      </w:pPr>
      <w:r>
        <w:rPr>
          <w:rFonts w:ascii="Arial" w:cs="Arial" w:eastAsia="Arial" w:hAnsi="Arial"/>
          <w:b/>
          <w:bCs/>
          <w:color w:val="1F3864"/>
          <w:sz w:val="23"/>
          <w:szCs w:val="23"/>
        </w:rPr>
        <w:t xml:space="preserve">2.1 System description</w:t>
      </w:r>
    </w:p>
    <w:p>
      <w:pPr>
        <w:spacing w:after="120" w:before="0"/>
      </w:pPr>
      <w:r>
        <w:rPr>
          <w:rFonts w:ascii="Arial" w:cs="Arial" w:eastAsia="Arial" w:hAnsi="Arial"/>
          <w:sz w:val="22"/>
          <w:szCs w:val="22"/>
        </w:rPr>
        <w:t xml:space="preserve">The system stores Water for Injection produced by the existing generation system and distributes it under continuous hot circulation to the points of use listed in the point-of-use schedule. Water is held and circulated at not less than 80 °C to maintain microbial control, with point-of-use coolers provided where a lower temperature is required at the outlet.</w:t>
      </w:r>
    </w:p>
    <w:p>
      <w:pPr>
        <w:spacing w:after="120" w:before="0"/>
      </w:pPr>
      <w:r>
        <w:rPr>
          <w:rFonts w:ascii="Arial" w:cs="Arial" w:eastAsia="Arial" w:hAnsi="Arial"/>
          <w:sz w:val="22"/>
          <w:szCs w:val="22"/>
        </w:rPr>
        <w:t xml:space="preserve">The distribution loop is a single circulating loop returning to the storage tank. Loop temperature is maintained by a heat exchanger of double tube sheet construction. Duty and standby distribution pumps provide continuous circulation with automatic changeover on failure.</w:t>
      </w:r>
    </w:p>
    <w:p>
      <w:pPr>
        <w:pStyle w:val="Heading2"/>
        <w:spacing w:after="100" w:before="220"/>
      </w:pPr>
      <w:r>
        <w:rPr>
          <w:rFonts w:ascii="Arial" w:cs="Arial" w:eastAsia="Arial" w:hAnsi="Arial"/>
          <w:b/>
          <w:bCs/>
          <w:color w:val="1F3864"/>
          <w:sz w:val="23"/>
          <w:szCs w:val="23"/>
        </w:rPr>
        <w:t xml:space="preserve">2.2 Process context</w:t>
      </w:r>
    </w:p>
    <w:p>
      <w:pPr>
        <w:spacing w:after="120" w:before="0"/>
      </w:pPr>
      <w:r>
        <w:rPr>
          <w:rFonts w:ascii="Arial" w:cs="Arial" w:eastAsia="Arial" w:hAnsi="Arial"/>
          <w:sz w:val="22"/>
          <w:szCs w:val="22"/>
        </w:rPr>
        <w:t xml:space="preserve">WFI from this system is used in [state the uses: final rinse of product contact equipment, formulation, injection preparation, and similar]. Water quality therefore has a direct impact on product quality and on patient safety, and the system is classified as direct impact.</w:t>
      </w:r>
    </w:p>
    <w:p>
      <w:pPr>
        <w:pStyle w:val="Heading2"/>
        <w:spacing w:after="100" w:before="220"/>
      </w:pPr>
      <w:r>
        <w:rPr>
          <w:rFonts w:ascii="Arial" w:cs="Arial" w:eastAsia="Arial" w:hAnsi="Arial"/>
          <w:b/>
          <w:bCs/>
          <w:color w:val="1F3864"/>
          <w:sz w:val="23"/>
          <w:szCs w:val="23"/>
        </w:rPr>
        <w:t xml:space="preserve">2.3 Interfaces to other systems</w:t>
      </w:r>
    </w:p>
    <w:p>
      <w:pPr>
        <w:pStyle w:val="ListParagraph"/>
        <w:numPr>
          <w:ilvl w:val="0"/>
          <w:numId w:val="1"/>
        </w:numPr>
        <w:spacing w:after="70"/>
      </w:pPr>
      <w:r>
        <w:rPr>
          <w:rFonts w:ascii="Arial" w:cs="Arial" w:eastAsia="Arial" w:hAnsi="Arial"/>
          <w:sz w:val="22"/>
          <w:szCs w:val="22"/>
        </w:rPr>
        <w:t xml:space="preserve">WFI generation system — demand signal, generation status, out-of-specification diversion status.</w:t>
      </w:r>
    </w:p>
    <w:p>
      <w:pPr>
        <w:pStyle w:val="ListParagraph"/>
        <w:numPr>
          <w:ilvl w:val="0"/>
          <w:numId w:val="1"/>
        </w:numPr>
        <w:spacing w:after="70"/>
      </w:pPr>
      <w:r>
        <w:rPr>
          <w:rFonts w:ascii="Arial" w:cs="Arial" w:eastAsia="Arial" w:hAnsi="Arial"/>
          <w:sz w:val="22"/>
          <w:szCs w:val="22"/>
        </w:rPr>
        <w:t xml:space="preserve">Building management system — alarm annunciation only, with no control authority over the WFI system.</w:t>
      </w:r>
    </w:p>
    <w:p>
      <w:pPr>
        <w:pStyle w:val="ListParagraph"/>
        <w:numPr>
          <w:ilvl w:val="0"/>
          <w:numId w:val="1"/>
        </w:numPr>
        <w:spacing w:after="70"/>
      </w:pPr>
      <w:r>
        <w:rPr>
          <w:rFonts w:ascii="Arial" w:cs="Arial" w:eastAsia="Arial" w:hAnsi="Arial"/>
          <w:sz w:val="22"/>
          <w:szCs w:val="22"/>
        </w:rPr>
        <w:t xml:space="preserve">Points of use — mechanical and, where applicable, control interfaces to formulation, washing and filling equipment.</w:t>
      </w:r>
    </w:p>
    <w:p>
      <w:pPr>
        <w:pStyle w:val="ListParagraph"/>
        <w:numPr>
          <w:ilvl w:val="0"/>
          <w:numId w:val="1"/>
        </w:numPr>
        <w:spacing w:after="70"/>
      </w:pPr>
      <w:r>
        <w:rPr>
          <w:rFonts w:ascii="Arial" w:cs="Arial" w:eastAsia="Arial" w:hAnsi="Arial"/>
          <w:sz w:val="22"/>
          <w:szCs w:val="22"/>
        </w:rPr>
        <w:t xml:space="preserve">Laboratory information management system — export of online monitoring data for correlation with laboratory results.</w:t>
      </w:r>
    </w:p>
    <w:p>
      <w:pPr>
        <w:pStyle w:val="Heading2"/>
        <w:spacing w:after="100" w:before="220"/>
      </w:pPr>
      <w:r>
        <w:rPr>
          <w:rFonts w:ascii="Arial" w:cs="Arial" w:eastAsia="Arial" w:hAnsi="Arial"/>
          <w:b/>
          <w:bCs/>
          <w:color w:val="1F3864"/>
          <w:sz w:val="23"/>
          <w:szCs w:val="23"/>
        </w:rPr>
        <w:t xml:space="preserve">2.4 GxP impact assessment</w:t>
      </w:r>
    </w:p>
    <w:p>
      <w:pPr>
        <w:spacing w:after="120" w:before="0"/>
      </w:pPr>
      <w:r>
        <w:rPr>
          <w:rFonts w:ascii="Arial" w:cs="Arial" w:eastAsia="Arial" w:hAnsi="Arial"/>
          <w:sz w:val="22"/>
          <w:szCs w:val="22"/>
        </w:rPr>
        <w:t xml:space="preserve">The system is classified as GxP, direct impact. WFI is in direct contact with product or with product contact surfaces; its quality attributes are product quality attributes; and the system generates GMP records used in the assessment of batch quality. All requirements in this specification are therefore subject to qualification, and the control system is subject to EU GMP Annex 11 and, where applicable, 21 CFR Part 11.</w:t>
      </w:r>
    </w:p>
    <w:p>
      <w:pPr>
        <w:pStyle w:val="Heading1"/>
        <w:spacing w:after="160" w:before="320"/>
      </w:pPr>
      <w:r>
        <w:rPr>
          <w:rFonts w:ascii="Arial" w:cs="Arial" w:eastAsia="Arial" w:hAnsi="Arial"/>
          <w:b/>
          <w:bCs/>
          <w:color w:val="1F3864"/>
          <w:sz w:val="26"/>
          <w:szCs w:val="26"/>
        </w:rPr>
        <w:t xml:space="preserve">3. Definitions and Abbreviations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rPr>
          <w:tblHeader/>
        </w:trPr>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Term</w:t>
            </w:r>
          </w:p>
        </w:tc>
        <w:tc>
          <w:tcPr>
            <w:tcW w:type="dxa" w:w="7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Definition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ALCOA+</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Attributable, Legible, Contemporaneous, Original, Accurate, plus Complete, Consistent, Enduring, Available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ASME BPE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American Society of Mechanical Engineers Bioprocessing Equipment standard</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CFU</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Colony Forming Unit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EU</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Endotoxin Unit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FAT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Factory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GAMP</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Good Automated Manufacturing Practice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GMP</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Good Manufacturing Practice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IQ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Installation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OQ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Operational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P&amp;ID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POU</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Point of Use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Performance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Ra</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Roughness average, surface finish</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Site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TOC</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Total Organic Carbon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User Requirements Specification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WFI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Water for Injection</w:t>
            </w:r>
          </w:p>
        </w:tc>
      </w:tr>
    </w:tbl>
    <w:p>
      <w:pPr>
        <w:pStyle w:val="Heading1"/>
        <w:spacing w:after="160" w:before="320"/>
      </w:pPr>
      <w:r>
        <w:rPr>
          <w:rFonts w:ascii="Arial" w:cs="Arial" w:eastAsia="Arial" w:hAnsi="Arial"/>
          <w:b/>
          <w:bCs/>
          <w:color w:val="1F3864"/>
          <w:sz w:val="26"/>
          <w:szCs w:val="26"/>
        </w:rPr>
        <w:t xml:space="preserve">4. Referenced Documents</w:t>
      </w:r>
    </w:p>
    <w:p>
      <w:pPr>
        <w:pStyle w:val="ListParagraph"/>
        <w:numPr>
          <w:ilvl w:val="0"/>
          <w:numId w:val="1"/>
        </w:numPr>
        <w:spacing w:after="70"/>
      </w:pPr>
      <w:r>
        <w:rPr>
          <w:rFonts w:ascii="Arial" w:cs="Arial" w:eastAsia="Arial" w:hAnsi="Arial"/>
          <w:sz w:val="22"/>
          <w:szCs w:val="22"/>
        </w:rPr>
        <w:t xml:space="preserve">EU GMP Annex 1 — Manufacture of Sterile Medicinal Products (2022 revision), where WFI is used in aseptic processing.</w:t>
      </w:r>
    </w:p>
    <w:p>
      <w:pPr>
        <w:pStyle w:val="ListParagraph"/>
        <w:numPr>
          <w:ilvl w:val="0"/>
          <w:numId w:val="1"/>
        </w:numPr>
        <w:spacing w:after="70"/>
      </w:pPr>
      <w:r>
        <w:rPr>
          <w:rFonts w:ascii="Arial" w:cs="Arial" w:eastAsia="Arial" w:hAnsi="Arial"/>
          <w:sz w:val="22"/>
          <w:szCs w:val="22"/>
        </w:rPr>
        <w:t xml:space="preserve">EU GMP Annex 11 — Computerised Systems.</w:t>
      </w:r>
    </w:p>
    <w:p>
      <w:pPr>
        <w:pStyle w:val="ListParagraph"/>
        <w:numPr>
          <w:ilvl w:val="0"/>
          <w:numId w:val="1"/>
        </w:numPr>
        <w:spacing w:after="70"/>
      </w:pPr>
      <w:r>
        <w:rPr>
          <w:rFonts w:ascii="Arial" w:cs="Arial" w:eastAsia="Arial" w:hAnsi="Arial"/>
          <w:sz w:val="22"/>
          <w:szCs w:val="22"/>
        </w:rPr>
        <w:t xml:space="preserve">EU GMP Annex 15 — Qualification and Validation.</w:t>
      </w:r>
    </w:p>
    <w:p>
      <w:pPr>
        <w:pStyle w:val="ListParagraph"/>
        <w:numPr>
          <w:ilvl w:val="0"/>
          <w:numId w:val="1"/>
        </w:numPr>
        <w:spacing w:after="70"/>
      </w:pPr>
      <w:r>
        <w:rPr>
          <w:rFonts w:ascii="Arial" w:cs="Arial" w:eastAsia="Arial" w:hAnsi="Arial"/>
          <w:sz w:val="22"/>
          <w:szCs w:val="22"/>
        </w:rPr>
        <w:t xml:space="preserve">21 CFR Parts 210, 211 and 11, where the site supplies the United States market.</w:t>
      </w:r>
    </w:p>
    <w:p>
      <w:pPr>
        <w:pStyle w:val="ListParagraph"/>
        <w:numPr>
          <w:ilvl w:val="0"/>
          <w:numId w:val="1"/>
        </w:numPr>
        <w:spacing w:after="70"/>
      </w:pPr>
      <w:r>
        <w:rPr>
          <w:rFonts w:ascii="Arial" w:cs="Arial" w:eastAsia="Arial" w:hAnsi="Arial"/>
          <w:sz w:val="22"/>
          <w:szCs w:val="22"/>
        </w:rPr>
        <w:t xml:space="preserve">USP General Chapter &lt;1231&gt; — Water for Pharmaceutical Purposes; USP &lt;643&gt; Total Organic Carbon; USP &lt;645&gt; Water Conductivity.</w:t>
      </w:r>
    </w:p>
    <w:p>
      <w:pPr>
        <w:pStyle w:val="ListParagraph"/>
        <w:numPr>
          <w:ilvl w:val="0"/>
          <w:numId w:val="1"/>
        </w:numPr>
        <w:spacing w:after="70"/>
      </w:pPr>
      <w:r>
        <w:rPr>
          <w:rFonts w:ascii="Arial" w:cs="Arial" w:eastAsia="Arial" w:hAnsi="Arial"/>
          <w:sz w:val="22"/>
          <w:szCs w:val="22"/>
        </w:rPr>
        <w:t xml:space="preserve">USP and Ph. Eur. monographs for Water for Injection.</w:t>
      </w:r>
    </w:p>
    <w:p>
      <w:pPr>
        <w:pStyle w:val="ListParagraph"/>
        <w:numPr>
          <w:ilvl w:val="0"/>
          <w:numId w:val="1"/>
        </w:numPr>
        <w:spacing w:after="70"/>
      </w:pPr>
      <w:r>
        <w:rPr>
          <w:rFonts w:ascii="Arial" w:cs="Arial" w:eastAsia="Arial" w:hAnsi="Arial"/>
          <w:sz w:val="22"/>
          <w:szCs w:val="22"/>
        </w:rPr>
        <w:t xml:space="preserve">ASME BPE — Bioprocessing Equipment.</w:t>
      </w:r>
    </w:p>
    <w:p>
      <w:pPr>
        <w:pStyle w:val="ListParagraph"/>
        <w:numPr>
          <w:ilvl w:val="0"/>
          <w:numId w:val="1"/>
        </w:numPr>
        <w:spacing w:after="70"/>
      </w:pPr>
      <w:r>
        <w:rPr>
          <w:rFonts w:ascii="Arial" w:cs="Arial" w:eastAsia="Arial" w:hAnsi="Arial"/>
          <w:sz w:val="22"/>
          <w:szCs w:val="22"/>
        </w:rPr>
        <w:t xml:space="preserve">GAMP 5 — A Risk-Based Approach to Compliant GxP Computerised Systems.</w:t>
      </w:r>
    </w:p>
    <w:p>
      <w:pPr>
        <w:pStyle w:val="ListParagraph"/>
        <w:numPr>
          <w:ilvl w:val="0"/>
          <w:numId w:val="1"/>
        </w:numPr>
        <w:spacing w:after="70"/>
      </w:pPr>
      <w:r>
        <w:rPr>
          <w:rFonts w:ascii="Arial" w:cs="Arial" w:eastAsia="Arial" w:hAnsi="Arial"/>
          <w:sz w:val="22"/>
          <w:szCs w:val="22"/>
        </w:rPr>
        <w:t xml:space="preserve">[Site validation master plan, site engineering standards, point-of-use schedule, utility schedule.]</w:t>
      </w:r>
    </w:p>
    <w:p>
      <w:pPr>
        <w:pStyle w:val="Heading1"/>
        <w:spacing w:after="160" w:before="320"/>
      </w:pPr>
      <w:r>
        <w:rPr>
          <w:rFonts w:ascii="Arial" w:cs="Arial" w:eastAsia="Arial" w:hAnsi="Arial"/>
          <w:b/>
          <w:bCs/>
          <w:color w:val="1F3864"/>
          <w:sz w:val="26"/>
          <w:szCs w:val="26"/>
        </w:rPr>
        <w:t xml:space="preserve">5. Requirements</w:t>
      </w:r>
    </w:p>
    <w:p>
      <w:pPr>
        <w:spacing w:after="120" w:before="0"/>
      </w:pPr>
      <w:r>
        <w:rPr>
          <w:rFonts w:ascii="Arial" w:cs="Arial" w:eastAsia="Arial" w:hAnsi="Arial"/>
          <w:sz w:val="22"/>
          <w:szCs w:val="22"/>
        </w:rPr>
        <w:t xml:space="preserve">Each requirement carries a unique identifier, a category, a priority and the qualification stage at which it is verified. Requirements are written to be verifiable. Where a requirement is governed by a worst-case condition, that condition is named and cross-referenced to Appendix 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1500"/>
        <w:gridCol w:w="4726"/>
        <w:gridCol w:w="1800"/>
      </w:tblGrid>
      <w:tr>
        <w:trPr>
          <w:tblHeader/>
        </w:trPr>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ID</w:t>
            </w:r>
          </w:p>
        </w:tc>
        <w:tc>
          <w:tcPr>
            <w:tcW w:type="dxa" w:w="1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Category</w:t>
            </w:r>
          </w:p>
        </w:tc>
        <w:tc>
          <w:tcPr>
            <w:tcW w:type="dxa" w:w="47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Requirement</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Priority / Verification</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URS-001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store and distribute Water for Injection meeting the requirements of the current USP and Ph. Eur. monographs for Water for Injection.</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PQ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URS-002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The system shall deliver a peak instantaneous demand of [TO BE CONFIRMED] L/min and an average daily consumption of [TO BE CONFIRMED] L/day.</w:t>
            </w:r>
          </w:p>
          <w:p>
            <w:pPr>
              <w:spacing w:after="0"/>
            </w:pPr>
            <w:r>
              <w:rPr>
                <w:rFonts w:ascii="Arial" w:cs="Arial" w:eastAsia="Arial" w:hAnsi="Arial"/>
                <w:b/>
                <w:bCs/>
                <w:color w:val="B45309"/>
                <w:sz w:val="17"/>
                <w:szCs w:val="17"/>
              </w:rPr>
              <w:t xml:space="preserve">Worst case: Peak demand with all high-draw points open simultaneously, as defined in Appendix A, WC-01.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PQ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URS-003</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operate continuously, 24 hours per day, 7 days per week, with planned shutdown limited to [TO BE CONFIRMED] hours per year.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PQ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URS-004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The storage tank shall have a nominal capacity of [TO BE CONFIRMED] L, sized to buffer peak demand without the generation system falling below its minimum turndown.</w:t>
            </w:r>
          </w:p>
          <w:p>
            <w:pPr>
              <w:spacing w:after="0"/>
            </w:pPr>
            <w:r>
              <w:rPr>
                <w:rFonts w:ascii="Arial" w:cs="Arial" w:eastAsia="Arial" w:hAnsi="Arial"/>
                <w:b/>
                <w:bCs/>
                <w:color w:val="B45309"/>
                <w:sz w:val="17"/>
                <w:szCs w:val="17"/>
              </w:rPr>
              <w:t xml:space="preserve">Worst case: Minimum tank level coincident with peak draw, WC-05.</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URS-005</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distribution loop shall serve [TO BE CONFIRMED] points of use, listed with their location, required flow and required temperature in the point-of-use schedule.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URS-006</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recover to full specification within [TO BE CONFIRMED] hours following a planned shutdown, without requiring drain and refill.</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Desirable</w:t>
            </w:r>
          </w:p>
          <w:p>
            <w:pPr>
              <w:spacing w:after="0"/>
              <w:jc w:val="center"/>
            </w:pPr>
            <w:r>
              <w:rPr>
                <w:rFonts w:ascii="Arial" w:cs="Arial" w:eastAsia="Arial" w:hAnsi="Arial"/>
                <w:sz w:val="18"/>
                <w:szCs w:val="18"/>
              </w:rPr>
              <w:t xml:space="preserve">PQ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URS-007</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WFI shall be stored and distributed under continuous hot circulation at a temperature not less than 80 °C at every point in the loop, measured at the least favourable location.</w:t>
            </w:r>
          </w:p>
          <w:p>
            <w:pPr>
              <w:spacing w:after="0"/>
            </w:pPr>
            <w:r>
              <w:rPr>
                <w:rFonts w:ascii="Arial" w:cs="Arial" w:eastAsia="Arial" w:hAnsi="Arial"/>
                <w:b/>
                <w:bCs/>
                <w:color w:val="B45309"/>
                <w:sz w:val="17"/>
                <w:szCs w:val="17"/>
              </w:rPr>
              <w:t xml:space="preserve">Worst case: Coldest point in the loop, normally the return leg at maximum draw, WC-02.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 / PQ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URS-008</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The distribution loop shall maintain a return flow velocity of not less than 1.0 m/s, or a demonstrated turbulent flow with Reynolds number greater than 10,000, at all operating conditions.</w:t>
            </w:r>
          </w:p>
          <w:p>
            <w:pPr>
              <w:spacing w:after="0"/>
            </w:pPr>
            <w:r>
              <w:rPr>
                <w:rFonts w:ascii="Arial" w:cs="Arial" w:eastAsia="Arial" w:hAnsi="Arial"/>
                <w:b/>
                <w:bCs/>
                <w:color w:val="B45309"/>
                <w:sz w:val="17"/>
                <w:szCs w:val="17"/>
              </w:rPr>
              <w:t xml:space="preserve">Worst case: Minimum return velocity at maximum simultaneous draw, WC-01.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URS-009</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The system shall be fitted with duty and standby distribution pumps with automatic changeover on failure, and an automatic duty rotation to prevent stagnation in the standby pump.</w:t>
            </w:r>
          </w:p>
          <w:p>
            <w:pPr>
              <w:spacing w:after="0"/>
            </w:pPr>
            <w:r>
              <w:rPr>
                <w:rFonts w:ascii="Arial" w:cs="Arial" w:eastAsia="Arial" w:hAnsi="Arial"/>
                <w:b/>
                <w:bCs/>
                <w:color w:val="B45309"/>
                <w:sz w:val="17"/>
                <w:szCs w:val="17"/>
              </w:rPr>
              <w:t xml:space="preserve">Worst case: Standby pump branch is a low-flow zone; see WC-07.</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Loop temperature shall be maintained by a heat exchanger of double tube sheet construction with a monitored and drainable interspace, providing leak detection between the WFI and the heating medium.</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 / 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The storage tank shall be fitted with a spray ball providing demonstrated full wetted coverage of the internal surface, including the headspace, at the specified supply pressure and flow.</w:t>
            </w:r>
          </w:p>
          <w:p>
            <w:pPr>
              <w:spacing w:after="0"/>
            </w:pPr>
            <w:r>
              <w:rPr>
                <w:rFonts w:ascii="Arial" w:cs="Arial" w:eastAsia="Arial" w:hAnsi="Arial"/>
                <w:b/>
                <w:bCs/>
                <w:color w:val="B45309"/>
                <w:sz w:val="17"/>
                <w:szCs w:val="17"/>
              </w:rPr>
              <w:t xml:space="preserve">Worst case: Tank at minimum operating level with the highest headspace to wet, WC-05.</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The storage tank shall be fitted with a hydrophobic vent filter of 0.22 micrometre rating, electrically heated to prevent condensate blinding, and capable of in-place integrity testing without breaking the sterile boundary.</w:t>
            </w:r>
          </w:p>
          <w:p>
            <w:pPr>
              <w:spacing w:after="0"/>
            </w:pPr>
            <w:r>
              <w:rPr>
                <w:rFonts w:ascii="Arial" w:cs="Arial" w:eastAsia="Arial" w:hAnsi="Arial"/>
                <w:b/>
                <w:bCs/>
                <w:color w:val="B45309"/>
                <w:sz w:val="17"/>
                <w:szCs w:val="17"/>
              </w:rPr>
              <w:t xml:space="preserve">Worst case: Maximum tank discharge rate creating maximum air ingress through the vent filter, WC-06.</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 / 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URS-013</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Points of use requiring water below loop temperature shall be served by dedicated point-of-use coolers arranged so that the cooled volume is returned to loop temperature, or drained, when the point of use is not drawing.</w:t>
            </w:r>
          </w:p>
          <w:p>
            <w:pPr>
              <w:spacing w:after="0"/>
            </w:pPr>
            <w:r>
              <w:rPr>
                <w:rFonts w:ascii="Arial" w:cs="Arial" w:eastAsia="Arial" w:hAnsi="Arial"/>
                <w:b/>
                <w:bCs/>
                <w:color w:val="B45309"/>
                <w:sz w:val="17"/>
                <w:szCs w:val="17"/>
              </w:rPr>
              <w:t xml:space="preserve">Worst case: Point-of-use cooler branch is the highest microbial risk location in the system, WC-04.</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The system shall provide a thermal sanitisation cycle capable of raising every point in the loop, including every point-of-use branch and cooler, to not less than [TO BE CONFIRMED] °C for not less than [TO BE CONFIRMED] minutes.</w:t>
            </w:r>
          </w:p>
          <w:p>
            <w:pPr>
              <w:spacing w:after="0"/>
            </w:pPr>
            <w:r>
              <w:rPr>
                <w:rFonts w:ascii="Arial" w:cs="Arial" w:eastAsia="Arial" w:hAnsi="Arial"/>
                <w:b/>
                <w:bCs/>
                <w:color w:val="B45309"/>
                <w:sz w:val="17"/>
                <w:szCs w:val="17"/>
              </w:rPr>
              <w:t xml:space="preserve">Worst case: Coldest point during sanitisation, normally the most hydraulically remote point-of-use branch, WC-03.</w:t>
            </w:r>
          </w:p>
          <w:p>
            <w:pPr>
              <w:spacing w:after="0"/>
            </w:pPr>
            <w:r>
              <w:rPr>
                <w:rFonts w:ascii="Arial" w:cs="Arial" w:eastAsia="Arial" w:hAnsi="Arial"/>
                <w:i/>
                <w:iCs/>
                <w:color w:val="555555"/>
                <w:sz w:val="17"/>
                <w:szCs w:val="17"/>
              </w:rPr>
              <w:t xml:space="preserve">Sanitisation temperature and hold time drive the sterility assurance of the system and shall be specified by the user; they are not assumed.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URS-015</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Tank level shall be controlled automatically, with high, high-high, low and low-low alarms, and with pump protection preventing operation below the minimum level.</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URS-016</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Functional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The system shall deliver a minimum dynamic pressure of [TO BE CONFIRMED] bar g at the most hydraulically remote point of use under peak demand.</w:t>
            </w:r>
          </w:p>
          <w:p>
            <w:pPr>
              <w:spacing w:after="0"/>
            </w:pPr>
            <w:r>
              <w:rPr>
                <w:rFonts w:ascii="Arial" w:cs="Arial" w:eastAsia="Arial" w:hAnsi="Arial"/>
                <w:b/>
                <w:bCs/>
                <w:color w:val="B45309"/>
                <w:sz w:val="17"/>
                <w:szCs w:val="17"/>
              </w:rPr>
              <w:t xml:space="preserve">Worst case: Most remote point of use at peak simultaneous draw, WC-01 and WC-08.</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PQ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URS-017</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Data / records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control system shall continuously record loop supply temperature, loop return temperature, tank level, loop flow, loop pressure, online conductivity and online TOC, at an interval not exceeding one minute.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URS-018</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Data / records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record every sanitisation cycle, capturing the temperature profile at each monitored location, the hold period achieved, the operator who initiated the cycle, and the cycle outcome.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URS-019</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Data / records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All alarms shall be recorded with the alarm condition, time of onset, time of acknowledgement, the acknowledging operator and time of clearance.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Data / records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Records shall be retained for not less than [TO BE CONFIRMED] years and shall be exportable in a human-readable format that retains the associated audit trail and metadata.</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Data integrity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Records shall be attributable, legible, contemporaneous, original and accurate, and shall remain complete, consistent, enduring and available throughout the retention period.</w:t>
            </w:r>
          </w:p>
          <w:p>
            <w:pPr>
              <w:spacing w:after="0"/>
            </w:pPr>
            <w:r>
              <w:rPr>
                <w:rFonts w:ascii="Arial" w:cs="Arial" w:eastAsia="Arial" w:hAnsi="Arial"/>
                <w:i/>
                <w:iCs/>
                <w:color w:val="555555"/>
                <w:sz w:val="17"/>
                <w:szCs w:val="17"/>
              </w:rPr>
              <w:t xml:space="preserve">ALCOA+; EU GMP Annex 11, MHRA and FDA data integrity guidance.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Data integrity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clock shall synchronise with the site time server. Users shall not be able to alter system time, and any time synchronisation change shall be recorded.</w:t>
            </w:r>
          </w:p>
          <w:p>
            <w:pPr>
              <w:spacing w:after="0"/>
            </w:pPr>
            <w:r>
              <w:rPr>
                <w:rFonts w:ascii="Arial" w:cs="Arial" w:eastAsia="Arial" w:hAnsi="Arial"/>
                <w:i/>
                <w:iCs/>
                <w:color w:val="555555"/>
                <w:sz w:val="17"/>
                <w:szCs w:val="17"/>
              </w:rPr>
              <w:t xml:space="preserve">Annex 11 clause 9.</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URS-023</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Data integrity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support automated backup of all GMP records, and restoration of those records shall be demonstrated during qualification.</w:t>
            </w:r>
          </w:p>
          <w:p>
            <w:pPr>
              <w:spacing w:after="0"/>
            </w:pPr>
            <w:r>
              <w:rPr>
                <w:rFonts w:ascii="Arial" w:cs="Arial" w:eastAsia="Arial" w:hAnsi="Arial"/>
                <w:i/>
                <w:iCs/>
                <w:color w:val="555555"/>
                <w:sz w:val="17"/>
                <w:szCs w:val="17"/>
              </w:rPr>
              <w:t xml:space="preserve">Annex 11 clause 7.2.</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Data integrity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No function shall permit deletion or overwriting of a recorded value. Corrections shall be made by a new entry that preserves the original.</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URS-025</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Security and access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control system shall provide role-based access control with individual named user accounts. Shared or generic accounts shall not be permitted.</w:t>
            </w:r>
          </w:p>
          <w:p>
            <w:pPr>
              <w:spacing w:after="0"/>
            </w:pPr>
            <w:r>
              <w:rPr>
                <w:rFonts w:ascii="Arial" w:cs="Arial" w:eastAsia="Arial" w:hAnsi="Arial"/>
                <w:i/>
                <w:iCs/>
                <w:color w:val="555555"/>
                <w:sz w:val="17"/>
                <w:szCs w:val="17"/>
              </w:rPr>
              <w:t xml:space="preserve">Annex 11 clause 12; 21 CFR 11.10(d).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URS-026</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Security and access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provide at least the roles Operator, Supervisor, Engineer and Administrator, with the permissions of each defined in the functional specification and configurable only by an Administrator.</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URS-027</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Security and access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Critical setpoints, including sanitisation temperature and hold time, alarm limits and calibration parameters, shall be modifiable only by authorised roles and every change shall be recorded.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URS-028</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Security and access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enforce automatic session timeout after a configurable period of inactivity, and shall require re-authentication to resume.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URS-029</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Audit trail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maintain a secure, computer-generated, time-stamped audit trail recording the operator identity, date, time, previous value and new value for every GMP-relevant change.</w:t>
            </w:r>
          </w:p>
          <w:p>
            <w:pPr>
              <w:spacing w:after="0"/>
            </w:pPr>
            <w:r>
              <w:rPr>
                <w:rFonts w:ascii="Arial" w:cs="Arial" w:eastAsia="Arial" w:hAnsi="Arial"/>
                <w:i/>
                <w:iCs/>
                <w:color w:val="555555"/>
                <w:sz w:val="17"/>
                <w:szCs w:val="17"/>
              </w:rPr>
              <w:t xml:space="preserve">Annex 11 clause 9; 21 CFR 11.10(e).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Audit trail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audit trail shall not be editable or disableable by any user, including administrators, and shall be reviewable within the application without recourse to the database.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Audit trail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support periodic audit trail review, with a filterable view and an exportable report of changes over a selected period.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Interfaces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interface with the upstream WFI generation system, exchanging demand signal, generation status and out-of-specification diversion status.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SAT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URS-033</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Interfaces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provide monitored signals to the site building management system for alarm annunciation, without permitting control of the WFI system from that system.</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SAT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Interfaces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provide the physical and electrical interface at each point of use defined in the point-of-use schedule, including any interface to filling or formulation equipment.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SAT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URS-035</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Interfaces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Where sample results are managed in a laboratory information management system, the system shall support export of online monitoring data in a defined format for correlation with laboratory results.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Desirable</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URS-036</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Environmental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operate within the site utility envelope: electrical supply [TO BE CONFIRMED], plant steam or heating medium [TO BE CONFIRMED], cooling medium [TO BE CONFIRMED], and compressed air [TO BE CONFIRMED].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URS-037</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Environmental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All drain connections shall discharge through an air break to prevent backflow, and shall be visible for inspection.</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URS-038</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Environmental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All hot surfaces accessible to personnel shall be insulated or guarded such that touchable surface temperature does not exceed 60 °C.</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 / SAT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URS-039</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Environmental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Pipework shall be installed with a continuous fall of not less than 1 in 100 towards designated drain points, so that the entire distribution system is fully drainable.</w:t>
            </w:r>
          </w:p>
          <w:p>
            <w:pPr>
              <w:spacing w:after="0"/>
            </w:pPr>
            <w:r>
              <w:rPr>
                <w:rFonts w:ascii="Arial" w:cs="Arial" w:eastAsia="Arial" w:hAnsi="Arial"/>
                <w:b/>
                <w:bCs/>
                <w:color w:val="B45309"/>
                <w:sz w:val="17"/>
                <w:szCs w:val="17"/>
              </w:rPr>
              <w:t xml:space="preserve">Worst case: The highest point and the longest horizontal run are the critical locations for drainability, WC-09.</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Environmental</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Loop pipework routed through classified areas shall be finished and supported so as not to compromise the cleanability of the room, and shall be installed clear of walls and ceilings for inspection.</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Materials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All product contact surfaces shall be stainless steel 316L, with a mechanically polished and electropolished internal surface finish of Ra not greater than 0.4 micrometres.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Materials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All product contact welds shall be automatic orbital welds. A weld log shall be maintained, and not less than [TO BE CONFIRMED] percent of welds shall be boroscopically inspected and documented.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URS-043</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Materials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be passivated after installation in accordance with a documented procedure, and a passivation certificate shall be provided.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Materials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Material certificates in accordance with EN 10204 Type 3.1 shall be provided for all product contact materials, traceable to the installed components.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URS-045</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Materials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Elastomers and polymers in product contact shall comply with USP Class VI and 21 CFR 177.2600, shall be suitable for continuous service at loop temperature, and shall be listed with their service life.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URS-046</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Materials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All valves in product contact shall be sanitary diaphragm valves of zero static or zero dead leg design, installed so that the branch is self-draining.</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 / 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URS-047</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Materials</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No dead leg in the distribution system shall exceed three internal pipe diameters (3D), measured from the internal wall of the main loop to the point of closure of the branch.</w:t>
            </w:r>
          </w:p>
          <w:p>
            <w:pPr>
              <w:spacing w:after="0"/>
            </w:pPr>
            <w:r>
              <w:rPr>
                <w:rFonts w:ascii="Arial" w:cs="Arial" w:eastAsia="Arial" w:hAnsi="Arial"/>
                <w:b/>
                <w:bCs/>
                <w:color w:val="B45309"/>
                <w:sz w:val="17"/>
                <w:szCs w:val="17"/>
              </w:rPr>
              <w:t xml:space="preserve">Worst case: The longest branch in the system defines the worst case for microbial risk, WC-07.</w:t>
            </w:r>
          </w:p>
          <w:p>
            <w:pPr>
              <w:spacing w:after="0"/>
            </w:pPr>
            <w:r>
              <w:rPr>
                <w:rFonts w:ascii="Arial" w:cs="Arial" w:eastAsia="Arial" w:hAnsi="Arial"/>
                <w:i/>
                <w:iCs/>
                <w:color w:val="555555"/>
                <w:sz w:val="17"/>
                <w:szCs w:val="17"/>
              </w:rPr>
              <w:t xml:space="preserve">ASME BPE. Where site standard permits 6D, that shall be stated and justified; 3D is the design intent.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 / 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URS-048</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Cleaning</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The complete system, including the tank, loop, all branches and all points of use, shall be fully drainable to a designated low point without dismantling.</w:t>
            </w:r>
          </w:p>
          <w:p>
            <w:pPr>
              <w:spacing w:after="0"/>
            </w:pPr>
            <w:r>
              <w:rPr>
                <w:rFonts w:ascii="Arial" w:cs="Arial" w:eastAsia="Arial" w:hAnsi="Arial"/>
                <w:b/>
                <w:bCs/>
                <w:color w:val="B45309"/>
                <w:sz w:val="17"/>
                <w:szCs w:val="17"/>
              </w:rPr>
              <w:t xml:space="preserve">Worst case: Verified with the system at rest from the highest point, WC-09.</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 / 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URS-049</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Cleaning</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sanitisation cycle shall be initiated from the operator interface, shall run automatically, and shall not be capable of being declared successful where any monitored location failed to achieve the required temperature and hold.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Cleaning</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Sample valves at each sampling location shall be of sanitary design, self-draining, and shall permit sampling without contaminating the sample or the system.</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Cleaning</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All instruments requiring calibration shall be accessible without dismantling major assemblies and shall be removable without breaching the loop where the system is in operation.</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 / 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Cleaning</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supplier shall provide a preventive maintenance schedule stating each task, its frequency and estimated duration, and shall guarantee spare parts availability for not less than ten years.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URS-053</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Safety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storage tank shall be protected against overpressure and vacuum by a rupture disc and a pressure and vacuum relief arrangement, with rupture disc failure detected and alarmed.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 / 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Safety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An emergency stop shall be provided at the skid and at each remote pump location, placing the system in a defined safe state without creating a hazard from stored thermal energy.</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SAT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URS-055</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Safety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Interlocks shall prevent operation of distribution pumps against a closed system and shall prevent sanitisation while any point of use is open to an operator-accessible outlet.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URS-056</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Safety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Sanitisation shall not be capable of being started without a positive confirmation step, and every point of use shall be visibly indicated as locked out for the duration of the cycle.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URS-057</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Safety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Noise emitted by the system shall not exceed 80 dB(A) measured at one metre under normal operation.</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Desirable</w:t>
            </w:r>
          </w:p>
          <w:p>
            <w:pPr>
              <w:spacing w:after="0"/>
              <w:jc w:val="center"/>
            </w:pPr>
            <w:r>
              <w:rPr>
                <w:rFonts w:ascii="Arial" w:cs="Arial" w:eastAsia="Arial" w:hAnsi="Arial"/>
                <w:sz w:val="18"/>
                <w:szCs w:val="18"/>
              </w:rPr>
              <w:t xml:space="preserve">SAT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URS-058</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Documentation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supplier shall provide, prior to Factory Acceptance Testing: general arrangement drawings, piping and instrumentation diagrams, isometric drawings, electrical schematics, control system documentation, a functional design specification and a design qualification package.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URS-059</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Documentation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supplier shall provide FAT and SAT protocols for user review and approval not less than four weeks before the respective test.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Documentation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supplier shall provide IQ and OQ protocols and supporting documentation aligned with EU GMP Annex 15, together with a full turnover package including weld logs, boroscopy records, material certificates, slope verification records and passivation certificates.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Documentation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supplier shall provide operation and maintenance manuals, a spare parts list with part numbers, and a documented change notification procedure for any modification affecting form, fit, function or materials.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Documentation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supplier shall provide training for operators, maintenance personnel, and quality and validation personnel, covering operation, sanitisation, sampling, fault recovery, audit trail review and user administration.</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SAT</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URS-063</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Regulatory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comply with the current USP and Ph. Eur. monographs for Water for Injection and with USP General Chapter 1231.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PQ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Regulatory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WFI delivered at every point of use shall meet: conductivity in accordance with USP General Chapter 645; total organic carbon not greater than 500 ppb; bacterial endotoxins not greater than 0.25 EU/mL; and total aerobic microbial count not greater than 10 CFU per 100 mL.</w:t>
            </w:r>
          </w:p>
          <w:p>
            <w:pPr>
              <w:spacing w:after="0"/>
            </w:pPr>
            <w:r>
              <w:rPr>
                <w:rFonts w:ascii="Arial" w:cs="Arial" w:eastAsia="Arial" w:hAnsi="Arial"/>
                <w:b/>
                <w:bCs/>
                <w:color w:val="B45309"/>
                <w:sz w:val="17"/>
                <w:szCs w:val="17"/>
              </w:rPr>
              <w:t xml:space="preserve">Worst case: Sampled at the worst-case points defined in Appendix A during each PQ phase.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PQ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URS-065</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Regulatory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be designed, installed and qualified in accordance with EU GMP Annex 15 and the site validation master plan.</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URS-066</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Regulatory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control system shall comply with EU GMP Annex 11 and, where applicable to the site, 21 CFR Part 11.</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URS-067</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Regulatory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be designed and documented in accordance with GAMP 5, and the supplier shall state the GAMP software category of the control system.</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URS-068</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Regulatory</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Equipment design shall follow ASME BPE for hygienic design, surface finish, fabrication and examination of product contact components.</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 / 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URS-069</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Qualification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support a three-phase Performance Qualification: Phase 1 with daily sampling of every point of use, Phase 2 confirming the sanitisation regime, and Phase 3 over one year confirming seasonal and feed water variation.</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PQ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URS-070</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Qualification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Sample points shall be provided at the tank outlet, the loop supply, the loop return, each sub-loop return and each point of use, and shall be individually identified and shown on the P&amp;ID.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URS-071</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Qualification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5"/>
            </w:pPr>
            <w:r>
              <w:rPr>
                <w:rFonts w:ascii="Arial" w:cs="Arial" w:eastAsia="Arial" w:hAnsi="Arial"/>
                <w:sz w:val="19"/>
                <w:szCs w:val="19"/>
              </w:rPr>
              <w:t xml:space="preserve">Temperature mapping ports shall be provided at each worst-case location listed in Appendix A, sufficient to demonstrate that sanitisation acceptance is met at the least favourable point.</w:t>
            </w:r>
          </w:p>
          <w:p>
            <w:pPr>
              <w:spacing w:after="0"/>
            </w:pPr>
            <w:r>
              <w:rPr>
                <w:rFonts w:ascii="Arial" w:cs="Arial" w:eastAsia="Arial" w:hAnsi="Arial"/>
                <w:b/>
                <w:bCs/>
                <w:color w:val="B45309"/>
                <w:sz w:val="17"/>
                <w:szCs w:val="17"/>
              </w:rPr>
              <w:t xml:space="preserve">Worst case: Mapping shall include every location in Appendix A; a cycle demonstrated only at favourable points is not acceptable.</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IQ / OQ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URS-072</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Qualification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supplier shall provide hydraulic calculations demonstrating that the minimum return velocity and minimum point-of-use pressure are met under the worst-case demand condition defined in Appendix A.</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URS-073</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Qualification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Every requirement in this specification shall be traceable through design qualification, factory and site acceptance testing, and installation, operational and performance qualification, as recorded in the traceability matrix.</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DQ</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URS-074</w:t>
            </w:r>
          </w:p>
        </w:tc>
        <w:tc>
          <w:tcPr>
            <w:tcW w:type="dxa" w:w="1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Qualification</w:t>
            </w:r>
          </w:p>
        </w:tc>
        <w:tc>
          <w:tcPr>
            <w:tcW w:type="dxa" w:w="47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system shall permit challenge of the worst-case conditions listed in Appendix A during qualification without modification to the installed system.</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Mandatory</w:t>
            </w:r>
          </w:p>
          <w:p>
            <w:pPr>
              <w:spacing w:after="0"/>
              <w:jc w:val="center"/>
            </w:pPr>
            <w:r>
              <w:rPr>
                <w:rFonts w:ascii="Arial" w:cs="Arial" w:eastAsia="Arial" w:hAnsi="Arial"/>
                <w:sz w:val="18"/>
                <w:szCs w:val="18"/>
              </w:rPr>
              <w:t xml:space="preserve">OQ</w:t>
            </w:r>
          </w:p>
        </w:tc>
      </w:tr>
    </w:tbl>
    <w:p>
      <w:pPr>
        <w:pStyle w:val="Heading1"/>
        <w:spacing w:after="160" w:before="320"/>
      </w:pPr>
      <w:r>
        <w:rPr>
          <w:rFonts w:ascii="Arial" w:cs="Arial" w:eastAsia="Arial" w:hAnsi="Arial"/>
          <w:b/>
          <w:bCs/>
          <w:color w:val="1F3864"/>
          <w:sz w:val="26"/>
          <w:szCs w:val="26"/>
        </w:rPr>
        <w:t xml:space="preserve">6. Assumptions</w:t>
      </w:r>
    </w:p>
    <w:p>
      <w:pPr>
        <w:spacing w:after="120" w:before="0"/>
      </w:pPr>
      <w:r>
        <w:rPr>
          <w:rFonts w:ascii="Arial" w:cs="Arial" w:eastAsia="Arial" w:hAnsi="Arial"/>
          <w:b/>
          <w:bCs/>
          <w:sz w:val="22"/>
          <w:szCs w:val="22"/>
        </w:rPr>
        <w:t xml:space="preserve">The following configuration assumptions were carried while authoring this specification. Each shall be confirmed or corrected by the responsible person before this document is issued. An assumption that reaches a supplier unconfirmed becomes a requirement nobody decided.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8126"/>
      </w:tblGrid>
      <w:tr>
        <w:trPr>
          <w:tblHeader/>
        </w:trPr>
        <w:tc>
          <w:tcPr>
            <w:tcW w:type="dxa" w:w="9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Ref</w:t>
            </w:r>
          </w:p>
        </w:tc>
        <w:tc>
          <w:tcPr>
            <w:tcW w:type="dxa" w:w="81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Assumption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A-01</w:t>
            </w:r>
          </w:p>
        </w:tc>
        <w:tc>
          <w:tcPr>
            <w:tcW w:type="dxa" w:w="8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Loop configuration is a single hot circulating loop at 80 °C with point-of-use coolers where lower temperatures are required. To be confirmed against the point-of-use schedule.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A-02</w:t>
            </w:r>
          </w:p>
        </w:tc>
        <w:tc>
          <w:tcPr>
            <w:tcW w:type="dxa" w:w="8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Sanitisation is by hot water at loop temperature, using the circulating loop itself. Pure steam sanitisation is not assumed and would change the pressure rating and drainage design.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A-03</w:t>
            </w:r>
          </w:p>
        </w:tc>
        <w:tc>
          <w:tcPr>
            <w:tcW w:type="dxa" w:w="8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storage tank is vertical, dished-end, jacketed and mounted at grade. Tank geometry affects spray ball selection and headspace behaviour.</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A-04</w:t>
            </w:r>
          </w:p>
        </w:tc>
        <w:tc>
          <w:tcPr>
            <w:tcW w:type="dxa" w:w="8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 single loop serves all points of use. If sub-loops are required, each sub-loop return becomes an additional worst-case location.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A-05</w:t>
            </w:r>
          </w:p>
        </w:tc>
        <w:tc>
          <w:tcPr>
            <w:tcW w:type="dxa" w:w="8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Feed to the tank is from an existing WFI generation system whose capacity and turndown are known and adequate.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A-06</w:t>
            </w:r>
          </w:p>
        </w:tc>
        <w:tc>
          <w:tcPr>
            <w:tcW w:type="dxa" w:w="8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heating and cooling media are available at the site utility envelope stated in URS-036, at the pressures and temperatures given in the utility schedule.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A-07</w:t>
            </w:r>
          </w:p>
        </w:tc>
        <w:tc>
          <w:tcPr>
            <w:tcW w:type="dxa" w:w="8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Ambient conditions in the areas served do not require trace heating beyond insulation.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A-08</w:t>
            </w:r>
          </w:p>
        </w:tc>
        <w:tc>
          <w:tcPr>
            <w:tcW w:type="dxa" w:w="8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Point-of-use hoses and connections are outside the scope of this specification and are covered by the site hose management procedure.</w:t>
            </w:r>
          </w:p>
        </w:tc>
      </w:tr>
    </w:tbl>
    <w:p>
      <w:pPr>
        <w:spacing w:after="120" w:before="220"/>
      </w:pPr>
      <w:r>
        <w:rPr>
          <w:rFonts w:ascii="Arial" w:cs="Arial" w:eastAsia="Arial" w:hAnsi="Arial"/>
          <w:b/>
          <w:bCs/>
          <w:sz w:val="23"/>
          <w:szCs w:val="23"/>
        </w:rPr>
        <w:t xml:space="preserve">Confirmation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26"/>
        <w:gridCol w:w="2500"/>
        <w:gridCol w:w="2000"/>
      </w:tblGrid>
      <w:tr>
        <w:trPr>
          <w:tblHeader/>
        </w:trPr>
        <w:tc>
          <w:tcPr>
            <w:tcW w:type="dxa" w:w="45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Statement</w:t>
            </w:r>
          </w:p>
        </w:tc>
        <w:tc>
          <w:tcPr>
            <w:tcW w:type="dxa" w:w="25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Confirmed by</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r>
      <w:tr>
        <w:tc>
          <w:tcPr>
            <w:tcW w:type="dxa" w:w="4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All assumptions above, and all bracketed values in Section 5, have been reviewed and confirmed or corrected.</w:t>
            </w:r>
          </w:p>
        </w:tc>
        <w:tc>
          <w:tcPr>
            <w:tcW w:type="dxa" w:w="25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7. Acceptance and Traceability</w:t>
      </w:r>
    </w:p>
    <w:p>
      <w:pPr>
        <w:pStyle w:val="Heading2"/>
        <w:spacing w:after="100" w:before="220"/>
      </w:pPr>
      <w:r>
        <w:rPr>
          <w:rFonts w:ascii="Arial" w:cs="Arial" w:eastAsia="Arial" w:hAnsi="Arial"/>
          <w:b/>
          <w:bCs/>
          <w:color w:val="1F3864"/>
          <w:sz w:val="23"/>
          <w:szCs w:val="23"/>
        </w:rPr>
        <w:t xml:space="preserve">7.1 Verification method per requirement</w:t>
      </w:r>
    </w:p>
    <w:p>
      <w:pPr>
        <w:spacing w:after="120" w:before="0"/>
      </w:pPr>
      <w:r>
        <w:rPr>
          <w:rFonts w:ascii="Arial" w:cs="Arial" w:eastAsia="Arial" w:hAnsi="Arial"/>
          <w:sz w:val="22"/>
          <w:szCs w:val="22"/>
        </w:rPr>
        <w:t xml:space="preserve">Each requirement in Section 5 carries its verification stage. Design Qualification verifies that the proposed design satisfies the requirement. Factory and Site Acceptance Testing verify construction and installed function. Installation Qualification verifies materials, finishes, slopes, welds and documentation. Operational Qualification verifies function across the operating range, including the sanitisation cycle. Performance Qualification verifies sustained water quality over the three-phase programme.</w:t>
      </w:r>
    </w:p>
    <w:p>
      <w:pPr>
        <w:pStyle w:val="Heading2"/>
        <w:spacing w:after="100" w:before="220"/>
      </w:pPr>
      <w:r>
        <w:rPr>
          <w:rFonts w:ascii="Arial" w:cs="Arial" w:eastAsia="Arial" w:hAnsi="Arial"/>
          <w:b/>
          <w:bCs/>
          <w:color w:val="1F3864"/>
          <w:sz w:val="23"/>
          <w:szCs w:val="23"/>
        </w:rPr>
        <w:t xml:space="preserve">7.2 Traceability approach</w:t>
      </w:r>
    </w:p>
    <w:p>
      <w:pPr>
        <w:spacing w:after="120" w:before="0"/>
      </w:pPr>
      <w:r>
        <w:rPr>
          <w:rFonts w:ascii="Arial" w:cs="Arial" w:eastAsia="Arial" w:hAnsi="Arial"/>
          <w:sz w:val="22"/>
          <w:szCs w:val="22"/>
        </w:rPr>
        <w:t xml:space="preserve">A traceability matrix shall be maintained listing every URS identifier against the design document that satisfies it and the test document that verifies it. No requirement shall be closed without a documented verification result, and no test shall be performed that does not trace to a requirement.</w:t>
      </w:r>
    </w:p>
    <w:p>
      <w:pPr>
        <w:pStyle w:val="Heading2"/>
        <w:spacing w:after="100" w:before="220"/>
      </w:pPr>
      <w:r>
        <w:rPr>
          <w:rFonts w:ascii="Arial" w:cs="Arial" w:eastAsia="Arial" w:hAnsi="Arial"/>
          <w:b/>
          <w:bCs/>
          <w:color w:val="1F3864"/>
          <w:sz w:val="23"/>
          <w:szCs w:val="23"/>
        </w:rPr>
        <w:t xml:space="preserve">7.3 Worst-case conditions</w:t>
      </w:r>
    </w:p>
    <w:p>
      <w:pPr>
        <w:spacing w:after="120" w:before="0"/>
      </w:pPr>
      <w:r>
        <w:rPr>
          <w:rFonts w:ascii="Arial" w:cs="Arial" w:eastAsia="Arial" w:hAnsi="Arial"/>
          <w:sz w:val="22"/>
          <w:szCs w:val="22"/>
        </w:rPr>
        <w:t xml:space="preserve">Qualification shall challenge the system at its least favourable conditions, not at its most convenient. Appendix A defines the worst-case conditions for this system, the reason each is a worst case, the requirements it governs and the qualification stage at which it is challenged.</w:t>
      </w:r>
    </w:p>
    <w:p>
      <w:pPr>
        <w:spacing w:after="120" w:before="0"/>
      </w:pPr>
      <w:r>
        <w:rPr>
          <w:rFonts w:ascii="Arial" w:cs="Arial" w:eastAsia="Arial" w:hAnsi="Arial"/>
          <w:b/>
          <w:bCs/>
          <w:sz w:val="22"/>
          <w:szCs w:val="22"/>
        </w:rPr>
        <w:t xml:space="preserve">A sanitisation cycle demonstrated only at the loop supply header, a velocity calculation performed only at average demand, or a PQ sampling plan that omits the point-of-use coolers, will not demonstrate control of this system. Each condition in Appendix A shall be either challenged or formally justified as not applicable.</w:t>
      </w:r>
    </w:p>
    <w:p>
      <w:pPr>
        <w:pStyle w:val="Heading1"/>
        <w:spacing w:after="160" w:before="320"/>
      </w:pPr>
      <w:r>
        <w:rPr>
          <w:rFonts w:ascii="Arial" w:cs="Arial" w:eastAsia="Arial" w:hAnsi="Arial"/>
          <w:b/>
          <w:bCs/>
          <w:color w:val="1F3864"/>
          <w:sz w:val="26"/>
          <w:szCs w:val="26"/>
        </w:rPr>
        <w:t xml:space="preserve">8. Approvals</w:t>
      </w:r>
    </w:p>
    <w:p>
      <w:pPr>
        <w:spacing w:after="120" w:before="0"/>
      </w:pPr>
      <w:r>
        <w:rPr>
          <w:rFonts w:ascii="Arial" w:cs="Arial" w:eastAsia="Arial" w:hAnsi="Arial"/>
          <w:sz w:val="22"/>
          <w:szCs w:val="22"/>
        </w:rPr>
        <w:t xml:space="preserve">This document is prepared for review and approval in accordance with the site quality system. Signature below indicates that the signatory has reviewed this specification and accepts it as a true statement of the user requirement.</w:t>
      </w:r>
    </w:p>
    <w:p>
      <w:pPr>
        <w:spacing w:after="120" w:before="0"/>
      </w:pPr>
      <w:r>
        <w:rPr>
          <w:rFonts w:ascii="Arial" w:cs="Arial" w:eastAsia="Arial" w:hAnsi="Arial"/>
          <w:b/>
          <w:bCs/>
          <w:sz w:val="22"/>
          <w:szCs w:val="22"/>
        </w:rPr>
        <w:t xml:space="preserve">This document has no validity until reviewed and approved by qualified personnel under the site quality system, and shall not be issued for quotation or used as the basis for Design Qualification until all bracketed values are supplied and all Section 6 assumptions are confirmed.</w:t>
      </w:r>
    </w:p>
    <w:p>
      <w:pPr>
        <w:spacing w:after="2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2200"/>
        <w:gridCol w:w="2000"/>
        <w:gridCol w:w="1400"/>
        <w:gridCol w:w="1326"/>
      </w:tblGrid>
      <w:tr>
        <w:trPr>
          <w:tblHeader/>
        </w:trPr>
        <w:tc>
          <w:tcPr>
            <w:tcW w:type="dxa" w:w="2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Role</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Name</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Department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Signature</w:t>
            </w:r>
          </w:p>
        </w:tc>
        <w:tc>
          <w:tcPr>
            <w:tcW w:type="dxa" w:w="13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Author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Engineering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Operations / Production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MSAT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CQV / Validation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EHS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Automation / 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Contamination Control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Quality approval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Quality Assurance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9. Revision History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4426"/>
        <w:gridCol w:w="1800"/>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c>
          <w:tcPr>
            <w:tcW w:type="dxa" w:w="4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Description of change</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Author</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0.1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[DD-MMM-YYYY]</w:t>
            </w:r>
          </w:p>
        </w:tc>
        <w:tc>
          <w:tcPr>
            <w:tcW w:type="dxa" w:w="4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First draft.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r>
        <w:br w:type="page"/>
      </w:r>
    </w:p>
    <w:p>
      <w:pPr>
        <w:pStyle w:val="Heading1"/>
        <w:spacing w:after="160" w:before="320"/>
      </w:pPr>
      <w:r>
        <w:rPr>
          <w:rFonts w:ascii="Arial" w:cs="Arial" w:eastAsia="Arial" w:hAnsi="Arial"/>
          <w:b/>
          <w:bCs/>
          <w:color w:val="1F3864"/>
          <w:sz w:val="26"/>
          <w:szCs w:val="26"/>
        </w:rPr>
        <w:t xml:space="preserve">Appendix A — Worst-Case Conditions Register</w:t>
      </w:r>
    </w:p>
    <w:p>
      <w:pPr>
        <w:spacing w:after="120" w:before="0"/>
      </w:pPr>
      <w:r>
        <w:rPr>
          <w:rFonts w:ascii="Arial" w:cs="Arial" w:eastAsia="Arial" w:hAnsi="Arial"/>
          <w:sz w:val="22"/>
          <w:szCs w:val="22"/>
        </w:rPr>
        <w:t xml:space="preserve">These are the conditions under which the system is least able to meet its requirements. Design verification and qualification shall address each one. A condition assessed as not applicable shall be recorded as such with a justification, not omitted.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2100"/>
        <w:gridCol w:w="2600"/>
        <w:gridCol w:w="1826"/>
        <w:gridCol w:w="1600"/>
      </w:tblGrid>
      <w:tr>
        <w:trPr>
          <w:tblHeader/>
        </w:trPr>
        <w:tc>
          <w:tcPr>
            <w:tcW w:type="dxa" w:w="9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Ref</w:t>
            </w:r>
          </w:p>
        </w:tc>
        <w:tc>
          <w:tcPr>
            <w:tcW w:type="dxa" w:w="2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Condition</w:t>
            </w:r>
          </w:p>
        </w:tc>
        <w:tc>
          <w:tcPr>
            <w:tcW w:type="dxa" w:w="2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Why it is the worst case</w:t>
            </w:r>
          </w:p>
        </w:tc>
        <w:tc>
          <w:tcPr>
            <w:tcW w:type="dxa" w:w="1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Requirements governed</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Challenged at</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WC-01</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Maximum simultaneous demand</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All high-draw points of use open together. Produces the lowest loop return velocity, the lowest return temperature and the lowest pressure at the remote point of use — three critical parameters degrade at once.</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URS-002, URS-008, URS-016, URS-072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OQ / PQ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WC-02</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Lowest temperature point during normal circulation</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Normally the loop return leg during peak draw, or an uninsulated section. Microbial control depends on every point staying above 80 °C, so the coldest point governs.</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URS-007, URS-017</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OQ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WC-03</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Least favourable point during sanitisation</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Normally the most hydraulically remote point-of-use branch or a cooler bypass. Sanitisation acceptance must be demonstrated here, not at the supply header.</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URS-014, URS-071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OQ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WC-04</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Point-of-use cooler branch</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Water is held below loop temperature in a small volume with intermittent flow. This is the highest microbial risk location in a hot loop and the usual source of excursions.</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URS-013, URS-064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WC-05</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Tank at minimum operating level</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Worst case for spray ball coverage of the headspace, for pump suction conditions, and for the ratio of headspace to stored volume during sanitisation.</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URS-004, URS-011, URS-015</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OQ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WC-06</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Maximum tank discharge rate</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Maximum air ingress through the vent filter. Governs vent filter sizing, heater duty and the risk of condensate blinding.</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URS-012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OQ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WC-07</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Longest branch and standby pump leg</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The greatest dead leg in the system, and any duty/standby arrangement where one leg is intermittently stagnant. Governs the 3D limit and duty rotation.</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URS-009, URS-046, URS-047</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DQ / IQ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WC-08</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Most hydraulically remote point of use</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Lowest available pressure and lowest temperature. Defines the hydraulic design case together with WC-01.</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URS-016, URS-072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WC-09</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Highest point and longest horizontal run</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Worst case for drainability and for retained water after shutdown. Slope and drainability are verified here.</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URS-039, URS-048</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WC-10</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Extended low-demand period</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Weekend or shutdown with minimal draw. Worst case for stagnation, for thermal loss and for the first-draw quality on restart.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URS-003, URS-006</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PQ</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8"/>
                <w:szCs w:val="18"/>
              </w:rPr>
              <w:t xml:space="preserve">WC-11</w:t>
            </w:r>
          </w:p>
        </w:tc>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8"/>
                <w:szCs w:val="18"/>
              </w:rPr>
              <w:t xml:space="preserve">Worst-case feed water quality</w:t>
            </w:r>
          </w:p>
        </w:tc>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Seasonal maximum in feed water TOC, hardness, chloride or microbial load. Challenges the generation system and, through it, the distribution loop.</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URS-063, URS-064, URS-069</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PQ Phase 3</w:t>
            </w:r>
          </w:p>
        </w:tc>
      </w:tr>
    </w:tbl>
    <w:p>
      <w:pPr>
        <w:spacing w:before="240"/>
      </w:pPr>
      <w:r>
        <w:rPr>
          <w:rFonts w:ascii="Arial" w:cs="Arial" w:eastAsia="Arial" w:hAnsi="Arial"/>
          <w:i/>
          <w:iCs/>
          <w:color w:val="555555"/>
          <w:sz w:val="19"/>
          <w:szCs w:val="19"/>
        </w:rPr>
        <w:t xml:space="preserve">Note on worst-case selection. The conditions above are derived from the system configuration assumed in Section 6. If the configuration changes — a second sub-loop, ozone rather than thermal sanitisation, an ambient rather than hot loop — this register must be reworked. In particular, an ambient loop makes every branch a microbial worst case rather than only the cooled ones.</w:t>
      </w:r>
    </w:p>
    <w:p>
      <w:r>
        <w:br w:type="page"/>
      </w:r>
    </w:p>
    <w:p>
      <w:pPr>
        <w:pStyle w:val="Heading1"/>
        <w:spacing w:after="160" w:before="320"/>
      </w:pPr>
      <w:r>
        <w:rPr>
          <w:rFonts w:ascii="Arial" w:cs="Arial" w:eastAsia="Arial" w:hAnsi="Arial"/>
          <w:b/>
          <w:bCs/>
          <w:color w:val="1F3864"/>
          <w:sz w:val="26"/>
          <w:szCs w:val="26"/>
        </w:rPr>
        <w:t xml:space="preserve">Appendix B — Traceability Matrix</w:t>
      </w:r>
    </w:p>
    <w:p>
      <w:pPr>
        <w:spacing w:after="120" w:before="0"/>
      </w:pPr>
      <w:r>
        <w:rPr>
          <w:rFonts w:ascii="Arial" w:cs="Arial" w:eastAsia="Arial" w:hAnsi="Arial"/>
          <w:sz w:val="22"/>
          <w:szCs w:val="22"/>
        </w:rPr>
        <w:t xml:space="preserve">To be completed by the validation team as qualification documents are raised.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4126"/>
        <w:gridCol w:w="1400"/>
        <w:gridCol w:w="1200"/>
        <w:gridCol w:w="1200"/>
      </w:tblGrid>
      <w:tr>
        <w:trPr>
          <w:tblHeader/>
        </w:trPr>
        <w:tc>
          <w:tcPr>
            <w:tcW w:type="dxa" w:w="1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URS ID</w:t>
            </w:r>
          </w:p>
        </w:tc>
        <w:tc>
          <w:tcPr>
            <w:tcW w:type="dxa" w:w="41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Requirement summary</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Design reference</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Test reference</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Result</w:t>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URS-001</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store and distribute Water for Injection meeting the requirements of the current…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URS-002</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deliver a peak instantaneous demand of [TO BE CONFIRMED] L/min and an average da…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URS-003</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operate continuously, 24 hours per day, 7 days per week, with planned shutdown 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URS-004</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storage tank shall have a nominal capacity of [TO BE CONFIRMED] L, sized to buffer peak deman…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URS-005</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distribution loop shall serve [TO BE CONFIRMED] points of use, listed with their location, 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URS-006</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recover to full specification within [TO BE CONFIRMED] hours following a planned…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URS-007</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WFI shall be stored and distributed under continuous hot circulation at a temperature not less th…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URS-008</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distribution loop shall maintain a return flow velocity of not less than 1.0 m/s, or a demons…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URS-009</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be fitted with duty and standby distribution pumps with automatic changeover on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URS-010</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Loop temperature shall be maintained by a heat exchanger of double tube sheet construction with 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URS-011</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storage tank shall be fitted with a spray ball providing demonstrated full wetted coverage of…</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URS-012</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storage tank shall be fitted with a hydrophobic vent filter of 0.22 micrometre rating, electr…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URS-013</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Points of use requiring water below loop temperature shall be served by dedicated point-of-use co…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URS-014</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provide a thermal sanitisation cycle capable of raising every point in the loop,…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URS-015</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Tank level shall be controlled automatically, with high, high-high, low and low-low alarms, and w…</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URS-016</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deliver a minimum dynamic pressure of [TO BE CONFIRMED] bar g at the most hydrau…</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URS-017</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control system shall continuously record loop supply temperature, loop return temperature, ta…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URS-018</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record every sanitisation cycle, capturing the temperature profile at each monit…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URS-019</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alarms shall be recorded with the alarm condition, time of onset, time of acknowledgement, th…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URS-020</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Records shall be retained for not less than [TO BE CONFIRMED] years and shall be exportable in a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URS-021</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Records shall be attributable, legible, contemporaneous, original and accurate, and shall remain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URS-022</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clock shall synchronise with the site time server. Users shall not be able to alter sy…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URS-023</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support automated backup of all GMP records, and restoration of those records sh…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URS-024</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function shall permit deletion or overwriting of a recorded value. Corrections shall be made b…</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URS-025</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control system shall provide role-based access control with individual named user accounts. 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URS-026</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provide at least the roles Operator, Supervisor, Engineer and Administrator, wit…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URS-027</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Critical setpoints, including sanitisation temperature and hold time, alarm limits and calibratio…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URS-028</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enforce automatic session timeout after a configurable period of inactivity, and…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URS-029</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maintain a secure, computer-generated, time-stamped audit trail recording the op…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URS-030</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audit trail shall not be editable or disableable by any user, including administrators, and 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URS-031</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support periodic audit trail review, with a filterable view and an exportable re…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URS-032</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interface with the upstream WFI generation system, exchanging demand signal, gen…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URS-033</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provide monitored signals to the site building management system for alarm annun…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URS-034</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provide the physical and electrical interface at each point of use defined in th…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URS-035</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Where sample results are managed in a laboratory information management system, the system shall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URS-036</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operate within the site utility envelope: electrical supply [TO BE CONFIRMED], p…</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URS-037</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drain connections shall discharge through an air break to prevent backflow, and shall be visi…</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URS-038</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hot surfaces accessible to personnel shall be insulated or guarded such that touchable surfac…</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URS-039</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Pipework shall be installed with a continuous fall of not less than 1 in 100 towards designated 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URS-040</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Loop pipework routed through classified areas shall be finished and supported so as not to compro…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URS-041</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product contact surfaces shall be stainless steel 316L, with a mechanically polished and elec…</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URS-042</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product contact welds shall be automatic orbital welds. A weld log shall be maintained, and 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URS-043</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be passivated after installation in accordance with a documented procedure, and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URS-044</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Material certificates in accordance with EN 10204 Type 3.1 shall be provided for all product cont…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URS-045</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Elastomers and polymers in product contact shall comply with USP Class VI and 21 CFR 177.2600, sh…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URS-046</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valves in product contact shall be sanitary diaphragm valves of zero static or zero dead leg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URS-047</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 dead leg in the distribution system shall exceed three internal pipe diameters (3D), measured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URS-048</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complete system, including the tank, loop, all branches and all points of use, shall be fully…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URS-049</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sanitisation cycle shall be initiated from the operator interface, shall run automatically, 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URS-050</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Sample valves at each sampling location shall be of sanitary design, self-draining, and shall per…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URS-051</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All instruments requiring calibration shall be accessible without dismantling major assemblies an…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URS-052</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supplier shall provide a preventive maintenance schedule stating each task, its frequency and…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URS-053</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storage tank shall be protected against overpressure and vacuum by a rupture disc and a press…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URS-054</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An emergency stop shall be provided at the skid and at each remote pump location, placing the sys…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URS-055</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Interlocks shall prevent operation of distribution pumps against a closed system and shall preven…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URS-056</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Sanitisation shall not be capable of being started without a positive confirmation step, and ever…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URS-057</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Noise emitted by the system shall not exceed 80 dB(A) measured at one metre under normal operation.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URS-058</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supplier shall provide, prior to Factory Acceptance Testing: general arrangement drawings, pi…</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URS-059</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supplier shall provide FAT and SAT protocols for user review and approval not less than four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URS-060</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supplier shall provide IQ and OQ protocols and supporting documentation aligned with EU GMP 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URS-061</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supplier shall provide operation and maintenance manuals, a spare parts list with part number…</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URS-062</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supplier shall provide training for operators, maintenance personnel, and quality and validat…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URS-063</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comply with the current USP and Ph. Eur. monographs for Water for Injection and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URS-064</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WFI delivered at every point of use shall meet: conductivity in accordance with USP General Chapt…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URS-065</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be designed, installed and qualified in accordance with EU GMP Annex 15 and the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URS-066</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control system shall comply with EU GMP Annex 11 and, where applicable to the site, 21 CFR Pa…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URS-067</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be designed and documented in accordance with GAMP 5, and the supplier shall sta…</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URS-068</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Equipment design shall follow ASME BPE for hygienic design, surface finish, fabrication and exami…</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URS-069</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support a three-phase Performance Qualification: Phase 1 with daily sampling of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URS-070</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Sample points shall be provided at the tank outlet, the loop supply, the loop return, each sub-lo…</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URS-071</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Temperature mapping ports shall be provided at each worst-case location listed in Appendix A, suf…</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URS-072</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supplier shall provide hydraulic calculations demonstrating that the minimum return velocity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URS-073</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Every requirement in this specification shall be traceable through design qualification, factory …</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URS-074</w:t>
            </w:r>
          </w:p>
        </w:tc>
        <w:tc>
          <w:tcPr>
            <w:tcW w:type="dxa" w:w="41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The system shall permit challenge of the worst-case conditions listed in Appendix A during qualif…</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pBdr>
      <w:jc w:val="center"/>
    </w:pPr>
    <w:r>
      <w:rPr>
        <w:rFonts w:ascii="Arial" w:cs="Arial" w:eastAsia="Arial" w:hAnsi="Arial"/>
        <w:color w:val="666666"/>
        <w:sz w:val="15"/>
        <w:szCs w:val="15"/>
      </w:rPr>
      <w:t xml:space="preserve">URS-WFI-001  |  Revision 0.1  |  Page </w:t>
    </w:r>
    <w:r>
      <w:rPr>
        <w:rFonts w:ascii="Arial" w:cs="Arial" w:eastAsia="Arial" w:hAnsi="Arial"/>
        <w:color w:val="666666"/>
        <w:sz w:val="15"/>
        <w:szCs w:val="15"/>
      </w:rPr>
      <w:fldChar w:fldCharType="begin"/>
      <w:instrText xml:space="preserve">PAGE</w:instrText>
      <w:fldChar w:fldCharType="separate"/>
      <w:fldChar w:fldCharType="end"/>
    </w:r>
    <w:r>
      <w:rPr>
        <w:rFonts w:ascii="Arial" w:cs="Arial" w:eastAsia="Arial" w:hAnsi="Arial"/>
        <w:color w:val="666666"/>
        <w:sz w:val="15"/>
        <w:szCs w:val="15"/>
      </w:rPr>
      <w:t xml:space="preserve"> of </w:t>
    </w:r>
    <w:r>
      <w:rPr>
        <w:rFonts w:ascii="Arial" w:cs="Arial" w:eastAsia="Arial" w:hAnsi="Arial"/>
        <w:color w:val="666666"/>
        <w:sz w:val="15"/>
        <w:szCs w:val="15"/>
      </w:rPr>
      <w:fldChar w:fldCharType="begin"/>
      <w:instrText xml:space="preserve">NUMPAGES</w:instrText>
      <w:fldChar w:fldCharType="separate"/>
      <w:fldChar w:fldCharType="end"/>
    </w:r>
    <w:r>
      <w:rPr>
        <w:rFonts w:ascii="Arial" w:cs="Arial" w:eastAsia="Arial" w:hAnsi="Arial"/>
        <w:color w:val="666666"/>
        <w:sz w:val="15"/>
        <w:szCs w:val="15"/>
      </w:rPr>
      <w:t xml:space="preserve">  |  Uncontrolled when printed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pBdr>
      <w:spacing w:after="0"/>
    </w:pPr>
    <w:r>
      <w:rPr>
        <w:rFonts w:ascii="Arial" w:cs="Arial" w:eastAsia="Arial" w:hAnsi="Arial"/>
        <w:color w:val="666666"/>
        <w:sz w:val="15"/>
        <w:szCs w:val="15"/>
      </w:rPr>
      <w:t xml:space="preserve">Water for Injection (WFI) Storage and Distribution System</w:t>
    </w:r>
    <w:r>
      <w:rPr>
        <w:rFonts w:ascii="Arial" w:cs="Arial" w:eastAsia="Arial" w:hAnsi="Arial"/>
        <w:color w:val="666666"/>
        <w:sz w:val="15"/>
        <w:szCs w:val="15"/>
      </w:rPr>
      <w:t xml:space="preserve">		URS-WFI-001  Rev 0.1</w:t>
    </w:r>
  </w:p>
  <w:p>
    <w:pPr>
      <w:spacing w:after="0" w:before="40"/>
      <w:jc w:val="center"/>
    </w:pPr>
    <w:r>
      <w:rPr>
        <w:rFonts w:ascii="Arial" w:cs="Arial" w:eastAsia="Arial" w:hAnsi="Arial"/>
        <w:b/>
        <w:bCs/>
        <w:color w:val="C00000"/>
        <w:sz w:val="15"/>
        <w:szCs w:val="15"/>
      </w:rPr>
      <w:t xml:space="preserve">DRAFT — TEMPLATE. BRACKETED VALUES AND SECTION 6 ASSUMPTIONS MUST BE COMPLETED BEFORE ISSUE.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9c38e5de4bb4fbe5ceac935992f3ec5a804789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URS — Water for Injection (WFI) Storage and Distribution System</dc:title>
  <dc:creator>Pharma4i</dc:creator>
  <cp:lastModifiedBy>Un-named</cp:lastModifiedBy>
  <cp:revision>1</cp:revision>
  <dcterms:created xsi:type="dcterms:W3CDTF">2026-09-07T12:09:38.140Z</dcterms:created>
  <dcterms:modified xsi:type="dcterms:W3CDTF">2026-09-07T12:09:38.152Z</dcterms:modified>
</cp:coreProperties>
</file>

<file path=docProps/custom.xml><?xml version="1.0" encoding="utf-8"?>
<Properties xmlns="http://schemas.openxmlformats.org/officeDocument/2006/custom-properties" xmlns:vt="http://schemas.openxmlformats.org/officeDocument/2006/docPropsVTypes"/>
</file>